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298" w:rsidRPr="00BB4455" w:rsidRDefault="00311298" w:rsidP="00BC4248">
      <w:pPr>
        <w:spacing w:after="210" w:line="360" w:lineRule="atLeast"/>
        <w:jc w:val="center"/>
        <w:rPr>
          <w:rFonts w:ascii="Arial" w:eastAsia="Times New Roman" w:hAnsi="Arial" w:cs="Arial"/>
          <w:b/>
          <w:color w:val="000000"/>
          <w:sz w:val="32"/>
          <w:szCs w:val="32"/>
          <w:lang w:eastAsia="en-GB"/>
        </w:rPr>
      </w:pPr>
      <w:r w:rsidRPr="00BB4455">
        <w:rPr>
          <w:rFonts w:ascii="Arial" w:eastAsia="Times New Roman" w:hAnsi="Arial" w:cs="Arial"/>
          <w:b/>
          <w:color w:val="000000"/>
          <w:sz w:val="32"/>
          <w:szCs w:val="32"/>
          <w:lang w:eastAsia="en-GB"/>
        </w:rPr>
        <w:t xml:space="preserve">Complex Instrument Appropriateness </w:t>
      </w:r>
      <w:r w:rsidR="00F467D8" w:rsidRPr="00BB4455">
        <w:rPr>
          <w:rFonts w:ascii="Arial" w:eastAsia="Times New Roman" w:hAnsi="Arial" w:cs="Arial"/>
          <w:b/>
          <w:color w:val="000000"/>
          <w:sz w:val="32"/>
          <w:szCs w:val="32"/>
          <w:lang w:eastAsia="en-GB"/>
        </w:rPr>
        <w:t>Test</w:t>
      </w:r>
    </w:p>
    <w:p w:rsidR="005C0F19" w:rsidRPr="00BB4455" w:rsidRDefault="005C0F19" w:rsidP="00A65D84">
      <w:pPr>
        <w:pStyle w:val="NoSpacing"/>
        <w:spacing w:before="120" w:after="120"/>
        <w:ind w:left="-426"/>
        <w:rPr>
          <w:rFonts w:ascii="Arial" w:hAnsi="Arial" w:cs="Arial"/>
          <w:b/>
          <w:sz w:val="21"/>
          <w:szCs w:val="21"/>
        </w:rPr>
      </w:pPr>
      <w:r w:rsidRPr="00BB4455">
        <w:rPr>
          <w:rFonts w:ascii="Arial" w:hAnsi="Arial" w:cs="Arial"/>
          <w:b/>
          <w:sz w:val="21"/>
          <w:szCs w:val="21"/>
        </w:rPr>
        <w:t>Name of Applicant:</w:t>
      </w:r>
    </w:p>
    <w:p w:rsidR="005C0F19" w:rsidRPr="00BB4455" w:rsidRDefault="005C0F19" w:rsidP="00A65D84">
      <w:pPr>
        <w:pStyle w:val="NoSpacing"/>
        <w:ind w:left="-426"/>
        <w:rPr>
          <w:rFonts w:ascii="Arial" w:hAnsi="Arial" w:cs="Arial"/>
          <w:b/>
          <w:sz w:val="21"/>
          <w:szCs w:val="21"/>
        </w:rPr>
      </w:pPr>
      <w:r w:rsidRPr="00BB4455">
        <w:rPr>
          <w:rFonts w:ascii="Arial" w:hAnsi="Arial" w:cs="Arial"/>
          <w:b/>
          <w:sz w:val="21"/>
          <w:szCs w:val="21"/>
        </w:rPr>
        <w:t xml:space="preserve">Share Dealing Account Number: </w:t>
      </w:r>
    </w:p>
    <w:p w:rsidR="00C03F28" w:rsidRPr="00BB4455" w:rsidRDefault="00C03F28" w:rsidP="00A65D84">
      <w:pPr>
        <w:pStyle w:val="NoSpacing"/>
        <w:ind w:left="-426"/>
        <w:rPr>
          <w:rFonts w:ascii="Arial" w:hAnsi="Arial" w:cs="Arial"/>
          <w:b/>
          <w:sz w:val="21"/>
          <w:szCs w:val="21"/>
        </w:rPr>
      </w:pPr>
    </w:p>
    <w:p w:rsidR="00C03F28" w:rsidRPr="00BB4455" w:rsidRDefault="00C03F28" w:rsidP="00C03F28">
      <w:pPr>
        <w:autoSpaceDE w:val="0"/>
        <w:autoSpaceDN w:val="0"/>
        <w:adjustRightInd w:val="0"/>
        <w:spacing w:after="0" w:line="240" w:lineRule="auto"/>
        <w:ind w:left="-426"/>
        <w:rPr>
          <w:rFonts w:ascii="Arial" w:hAnsi="Arial" w:cs="Arial"/>
          <w:sz w:val="21"/>
          <w:szCs w:val="21"/>
        </w:rPr>
      </w:pPr>
      <w:r w:rsidRPr="00BB4455">
        <w:rPr>
          <w:rFonts w:ascii="Arial" w:hAnsi="Arial" w:cs="Arial"/>
          <w:sz w:val="21"/>
          <w:szCs w:val="21"/>
        </w:rPr>
        <w:t xml:space="preserve">Investors are required to provide information regarding their knowledge and experience in </w:t>
      </w:r>
      <w:r w:rsidR="009223F8" w:rsidRPr="00BB4455">
        <w:rPr>
          <w:rFonts w:ascii="Arial" w:hAnsi="Arial" w:cs="Arial"/>
          <w:sz w:val="21"/>
          <w:szCs w:val="21"/>
        </w:rPr>
        <w:t>c</w:t>
      </w:r>
      <w:r w:rsidRPr="00BB4455">
        <w:rPr>
          <w:rFonts w:ascii="Arial" w:hAnsi="Arial" w:cs="Arial"/>
          <w:sz w:val="21"/>
          <w:szCs w:val="21"/>
        </w:rPr>
        <w:t xml:space="preserve">omplex </w:t>
      </w:r>
      <w:r w:rsidR="009223F8" w:rsidRPr="00BB4455">
        <w:rPr>
          <w:rFonts w:ascii="Arial" w:hAnsi="Arial" w:cs="Arial"/>
          <w:sz w:val="21"/>
          <w:szCs w:val="21"/>
        </w:rPr>
        <w:t>i</w:t>
      </w:r>
      <w:r w:rsidRPr="00BB4455">
        <w:rPr>
          <w:rFonts w:ascii="Arial" w:hAnsi="Arial" w:cs="Arial"/>
          <w:sz w:val="21"/>
          <w:szCs w:val="21"/>
        </w:rPr>
        <w:t>nstruments to enable</w:t>
      </w:r>
      <w:r w:rsidR="00DF5841" w:rsidRPr="00BB4455">
        <w:rPr>
          <w:rFonts w:ascii="Arial" w:hAnsi="Arial" w:cs="Arial"/>
          <w:sz w:val="21"/>
          <w:szCs w:val="21"/>
        </w:rPr>
        <w:t xml:space="preserve"> us to make an </w:t>
      </w:r>
      <w:r w:rsidRPr="00BB4455">
        <w:rPr>
          <w:rFonts w:ascii="Arial" w:hAnsi="Arial" w:cs="Arial"/>
          <w:sz w:val="21"/>
          <w:szCs w:val="21"/>
        </w:rPr>
        <w:t>assessment as to whether the product is appropriate for them</w:t>
      </w:r>
      <w:r w:rsidR="009223F8" w:rsidRPr="00BB4455">
        <w:rPr>
          <w:rFonts w:ascii="Arial" w:hAnsi="Arial" w:cs="Arial"/>
          <w:sz w:val="21"/>
          <w:szCs w:val="21"/>
        </w:rPr>
        <w:t>.</w:t>
      </w:r>
      <w:r w:rsidRPr="00BB4455">
        <w:rPr>
          <w:rFonts w:ascii="Arial" w:hAnsi="Arial" w:cs="Arial"/>
          <w:sz w:val="21"/>
          <w:szCs w:val="21"/>
        </w:rPr>
        <w:t xml:space="preserve"> </w:t>
      </w:r>
    </w:p>
    <w:p w:rsidR="00C03F28" w:rsidRPr="00BB4455" w:rsidRDefault="00C03F28" w:rsidP="00C03F28">
      <w:pPr>
        <w:autoSpaceDE w:val="0"/>
        <w:autoSpaceDN w:val="0"/>
        <w:adjustRightInd w:val="0"/>
        <w:spacing w:after="0" w:line="240" w:lineRule="auto"/>
        <w:rPr>
          <w:rFonts w:ascii="Arial" w:hAnsi="Arial" w:cs="Arial"/>
          <w:sz w:val="21"/>
          <w:szCs w:val="21"/>
        </w:rPr>
      </w:pPr>
    </w:p>
    <w:p w:rsidR="00C03F28" w:rsidRPr="00BB4455" w:rsidRDefault="009223F8" w:rsidP="00C03F28">
      <w:pPr>
        <w:autoSpaceDE w:val="0"/>
        <w:autoSpaceDN w:val="0"/>
        <w:adjustRightInd w:val="0"/>
        <w:spacing w:after="0" w:line="240" w:lineRule="auto"/>
        <w:ind w:left="-426"/>
        <w:rPr>
          <w:rFonts w:ascii="Arial" w:hAnsi="Arial" w:cs="Arial"/>
          <w:sz w:val="21"/>
          <w:szCs w:val="21"/>
        </w:rPr>
      </w:pPr>
      <w:r w:rsidRPr="00BB4455">
        <w:rPr>
          <w:rFonts w:ascii="Arial" w:hAnsi="Arial" w:cs="Arial"/>
          <w:sz w:val="21"/>
          <w:szCs w:val="21"/>
        </w:rPr>
        <w:t xml:space="preserve">As our </w:t>
      </w:r>
      <w:r w:rsidR="00C03F28" w:rsidRPr="00BB4455">
        <w:rPr>
          <w:rFonts w:ascii="Arial" w:hAnsi="Arial" w:cs="Arial"/>
          <w:sz w:val="21"/>
          <w:szCs w:val="21"/>
        </w:rPr>
        <w:t>service is an execution only</w:t>
      </w:r>
      <w:r w:rsidRPr="00BB4455">
        <w:rPr>
          <w:rFonts w:ascii="Arial" w:hAnsi="Arial" w:cs="Arial"/>
          <w:sz w:val="21"/>
          <w:szCs w:val="21"/>
        </w:rPr>
        <w:t>, i</w:t>
      </w:r>
      <w:r w:rsidR="00C03F28" w:rsidRPr="00BB4455">
        <w:rPr>
          <w:rFonts w:ascii="Arial" w:hAnsi="Arial" w:cs="Arial"/>
          <w:sz w:val="21"/>
          <w:szCs w:val="21"/>
        </w:rPr>
        <w:t>nvestors must rely on their own judgement and assessment of the instrument. This must include investment merits and risks and where relevant, investors must also be able to accept the risk of the investment for the specific duration.</w:t>
      </w:r>
    </w:p>
    <w:p w:rsidR="00C03F28" w:rsidRPr="00BB4455" w:rsidRDefault="00C03F28" w:rsidP="00C03F28">
      <w:pPr>
        <w:autoSpaceDE w:val="0"/>
        <w:autoSpaceDN w:val="0"/>
        <w:adjustRightInd w:val="0"/>
        <w:spacing w:after="0" w:line="240" w:lineRule="auto"/>
        <w:rPr>
          <w:rFonts w:ascii="Arial" w:hAnsi="Arial" w:cs="Arial"/>
          <w:sz w:val="21"/>
          <w:szCs w:val="21"/>
        </w:rPr>
      </w:pPr>
    </w:p>
    <w:p w:rsidR="00C03F28" w:rsidRPr="00BB4455" w:rsidRDefault="00C03F28" w:rsidP="00C03F28">
      <w:pPr>
        <w:autoSpaceDE w:val="0"/>
        <w:autoSpaceDN w:val="0"/>
        <w:adjustRightInd w:val="0"/>
        <w:spacing w:after="0" w:line="240" w:lineRule="auto"/>
        <w:ind w:left="-426"/>
        <w:rPr>
          <w:rFonts w:ascii="Arial" w:hAnsi="Arial" w:cs="Arial"/>
          <w:sz w:val="21"/>
          <w:szCs w:val="21"/>
        </w:rPr>
      </w:pPr>
      <w:r w:rsidRPr="00BB4455">
        <w:rPr>
          <w:rFonts w:ascii="Arial" w:hAnsi="Arial" w:cs="Arial"/>
          <w:sz w:val="21"/>
          <w:szCs w:val="21"/>
        </w:rPr>
        <w:t xml:space="preserve">In order that we can be certain that those investing in </w:t>
      </w:r>
      <w:r w:rsidR="009223F8" w:rsidRPr="00BB4455">
        <w:rPr>
          <w:rFonts w:ascii="Arial" w:hAnsi="Arial" w:cs="Arial"/>
          <w:sz w:val="21"/>
          <w:szCs w:val="21"/>
        </w:rPr>
        <w:t>complex instruments</w:t>
      </w:r>
      <w:r w:rsidRPr="00BB4455">
        <w:rPr>
          <w:rFonts w:ascii="Arial" w:hAnsi="Arial" w:cs="Arial"/>
          <w:sz w:val="21"/>
          <w:szCs w:val="21"/>
        </w:rPr>
        <w:t xml:space="preserve"> have the required knowledge and expertise, you are asked to answer the questions</w:t>
      </w:r>
      <w:r w:rsidR="009223F8" w:rsidRPr="00BB4455">
        <w:rPr>
          <w:rFonts w:ascii="Arial" w:hAnsi="Arial" w:cs="Arial"/>
          <w:sz w:val="21"/>
          <w:szCs w:val="21"/>
        </w:rPr>
        <w:t xml:space="preserve"> below</w:t>
      </w:r>
      <w:r w:rsidRPr="00BB4455">
        <w:rPr>
          <w:rFonts w:ascii="Arial" w:hAnsi="Arial" w:cs="Arial"/>
          <w:sz w:val="21"/>
          <w:szCs w:val="21"/>
        </w:rPr>
        <w:t>.</w:t>
      </w:r>
      <w:r w:rsidR="009223F8" w:rsidRPr="00BB4455">
        <w:rPr>
          <w:rFonts w:ascii="Arial" w:hAnsi="Arial" w:cs="Arial"/>
          <w:sz w:val="21"/>
          <w:szCs w:val="21"/>
        </w:rPr>
        <w:t xml:space="preserve"> Please note the following:</w:t>
      </w:r>
    </w:p>
    <w:p w:rsidR="005C0F19" w:rsidRPr="00BB4455" w:rsidRDefault="005C0F19" w:rsidP="005C0F19">
      <w:pPr>
        <w:pStyle w:val="NoSpacing"/>
        <w:rPr>
          <w:rFonts w:ascii="Arial" w:hAnsi="Arial" w:cs="Arial"/>
          <w:sz w:val="21"/>
          <w:szCs w:val="21"/>
        </w:rPr>
      </w:pPr>
    </w:p>
    <w:p w:rsidR="00124C48" w:rsidRPr="00BB4455" w:rsidRDefault="001F7356" w:rsidP="00A65D84">
      <w:pPr>
        <w:numPr>
          <w:ilvl w:val="0"/>
          <w:numId w:val="6"/>
        </w:numPr>
        <w:tabs>
          <w:tab w:val="clear" w:pos="720"/>
          <w:tab w:val="num" w:pos="426"/>
        </w:tabs>
        <w:spacing w:after="0" w:line="240" w:lineRule="auto"/>
        <w:ind w:hanging="7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A separate form must be completed by each person that is a nominated investment decision maker</w:t>
      </w:r>
      <w:r w:rsidR="007471B4" w:rsidRPr="00BB4455">
        <w:rPr>
          <w:rFonts w:ascii="Arial" w:eastAsia="Times New Roman" w:hAnsi="Arial" w:cs="Arial"/>
          <w:color w:val="000000"/>
          <w:sz w:val="21"/>
          <w:szCs w:val="21"/>
          <w:lang w:eastAsia="en-GB"/>
        </w:rPr>
        <w:t xml:space="preserve"> for the account</w:t>
      </w:r>
      <w:r w:rsidRPr="00BB4455">
        <w:rPr>
          <w:rFonts w:ascii="Arial" w:eastAsia="Times New Roman" w:hAnsi="Arial" w:cs="Arial"/>
          <w:color w:val="000000"/>
          <w:sz w:val="21"/>
          <w:szCs w:val="21"/>
          <w:lang w:eastAsia="en-GB"/>
        </w:rPr>
        <w:t>.</w:t>
      </w:r>
    </w:p>
    <w:p w:rsidR="001F7356" w:rsidRPr="00BB4455" w:rsidRDefault="001F7356" w:rsidP="00A65D84">
      <w:pPr>
        <w:numPr>
          <w:ilvl w:val="0"/>
          <w:numId w:val="6"/>
        </w:numPr>
        <w:tabs>
          <w:tab w:val="clear" w:pos="720"/>
          <w:tab w:val="num" w:pos="426"/>
        </w:tabs>
        <w:spacing w:after="0" w:line="240" w:lineRule="auto"/>
        <w:ind w:hanging="7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In the case of joint accounts, each named account holder must complete a separate form.</w:t>
      </w:r>
    </w:p>
    <w:p w:rsidR="001F7356" w:rsidRPr="00BB4455" w:rsidRDefault="007471B4" w:rsidP="00A65D84">
      <w:pPr>
        <w:numPr>
          <w:ilvl w:val="0"/>
          <w:numId w:val="6"/>
        </w:numPr>
        <w:tabs>
          <w:tab w:val="clear" w:pos="720"/>
          <w:tab w:val="num" w:pos="426"/>
        </w:tabs>
        <w:spacing w:after="0" w:line="240" w:lineRule="auto"/>
        <w:ind w:hanging="7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Your answers will be scored and we will notify you to confirm whether you have ‘passed’ or ‘failed.’</w:t>
      </w:r>
    </w:p>
    <w:p w:rsidR="007471B4" w:rsidRPr="00BB4455" w:rsidRDefault="005E4048" w:rsidP="00A65D84">
      <w:pPr>
        <w:numPr>
          <w:ilvl w:val="0"/>
          <w:numId w:val="6"/>
        </w:numPr>
        <w:tabs>
          <w:tab w:val="clear" w:pos="720"/>
          <w:tab w:val="num" w:pos="426"/>
        </w:tabs>
        <w:spacing w:after="0" w:line="240" w:lineRule="auto"/>
        <w:ind w:hanging="7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Please be aware that i</w:t>
      </w:r>
      <w:r w:rsidR="007471B4" w:rsidRPr="00BB4455">
        <w:rPr>
          <w:rFonts w:ascii="Arial" w:eastAsia="Times New Roman" w:hAnsi="Arial" w:cs="Arial"/>
          <w:color w:val="000000"/>
          <w:sz w:val="21"/>
          <w:szCs w:val="21"/>
          <w:lang w:eastAsia="en-GB"/>
        </w:rPr>
        <w:t>f you fail, you will not be able to reapply for a period of 30 days.</w:t>
      </w:r>
    </w:p>
    <w:p w:rsidR="007471B4" w:rsidRPr="00BB4455" w:rsidRDefault="007471B4" w:rsidP="007471B4">
      <w:pPr>
        <w:spacing w:after="0" w:line="240" w:lineRule="auto"/>
        <w:rPr>
          <w:rFonts w:ascii="Arial" w:eastAsia="Times New Roman" w:hAnsi="Arial" w:cs="Arial"/>
          <w:color w:val="000000"/>
          <w:sz w:val="21"/>
          <w:szCs w:val="21"/>
          <w:lang w:eastAsia="en-GB"/>
        </w:rPr>
      </w:pPr>
    </w:p>
    <w:p w:rsidR="00C225F1" w:rsidRPr="00BB4455" w:rsidRDefault="007471B4" w:rsidP="00257665">
      <w:pPr>
        <w:spacing w:after="0" w:line="240" w:lineRule="auto"/>
        <w:jc w:val="center"/>
        <w:rPr>
          <w:rFonts w:ascii="Arial" w:eastAsia="Times New Roman" w:hAnsi="Arial" w:cs="Arial"/>
          <w:b/>
          <w:color w:val="000000"/>
          <w:sz w:val="21"/>
          <w:szCs w:val="21"/>
          <w:lang w:eastAsia="en-GB"/>
        </w:rPr>
      </w:pPr>
      <w:r w:rsidRPr="00BB4455">
        <w:rPr>
          <w:rFonts w:ascii="Arial" w:eastAsia="Times New Roman" w:hAnsi="Arial" w:cs="Arial"/>
          <w:b/>
          <w:color w:val="000000"/>
          <w:sz w:val="21"/>
          <w:szCs w:val="21"/>
          <w:lang w:eastAsia="en-GB"/>
        </w:rPr>
        <w:t>Please circle your answers below</w:t>
      </w:r>
      <w:r w:rsidR="00830A9B" w:rsidRPr="00BB4455">
        <w:rPr>
          <w:rFonts w:ascii="Arial" w:eastAsia="Times New Roman" w:hAnsi="Arial" w:cs="Arial"/>
          <w:b/>
          <w:color w:val="000000"/>
          <w:sz w:val="21"/>
          <w:szCs w:val="21"/>
          <w:lang w:eastAsia="en-GB"/>
        </w:rPr>
        <w:t xml:space="preserve"> and sure you answer ALL questions</w:t>
      </w:r>
    </w:p>
    <w:p w:rsidR="00471F61" w:rsidRPr="00BB4455" w:rsidRDefault="00471F61" w:rsidP="00C225F1">
      <w:pPr>
        <w:spacing w:after="0" w:line="240" w:lineRule="auto"/>
        <w:rPr>
          <w:rFonts w:ascii="Arial" w:eastAsia="Times New Roman" w:hAnsi="Arial" w:cs="Arial"/>
          <w:color w:val="000000"/>
          <w:sz w:val="21"/>
          <w:szCs w:val="21"/>
          <w:lang w:eastAsia="en-GB"/>
        </w:rPr>
      </w:pPr>
    </w:p>
    <w:tbl>
      <w:tblPr>
        <w:tblW w:w="10206" w:type="dxa"/>
        <w:tblCellSpacing w:w="0" w:type="dxa"/>
        <w:tblInd w:w="-575" w:type="dxa"/>
        <w:tblCellMar>
          <w:top w:w="15" w:type="dxa"/>
          <w:left w:w="15" w:type="dxa"/>
          <w:bottom w:w="15" w:type="dxa"/>
          <w:right w:w="15" w:type="dxa"/>
        </w:tblCellMar>
        <w:tblLook w:val="04A0" w:firstRow="1" w:lastRow="0" w:firstColumn="1" w:lastColumn="0" w:noHBand="0" w:noVBand="1"/>
      </w:tblPr>
      <w:tblGrid>
        <w:gridCol w:w="705"/>
        <w:gridCol w:w="5045"/>
        <w:gridCol w:w="1553"/>
        <w:gridCol w:w="1486"/>
        <w:gridCol w:w="1417"/>
      </w:tblGrid>
      <w:tr w:rsidR="00124C48" w:rsidRPr="00BB4455" w:rsidTr="00BB4455">
        <w:trPr>
          <w:trHeight w:val="360"/>
          <w:tblCellSpacing w:w="0" w:type="dxa"/>
        </w:trPr>
        <w:tc>
          <w:tcPr>
            <w:tcW w:w="705" w:type="dxa"/>
            <w:tcBorders>
              <w:top w:val="single" w:sz="6" w:space="0" w:color="FFFFFF"/>
              <w:left w:val="single" w:sz="6" w:space="0" w:color="FFFFFF"/>
              <w:bottom w:val="single" w:sz="6" w:space="0" w:color="FFFFFF"/>
              <w:right w:val="single" w:sz="6" w:space="0" w:color="FFFFFF"/>
            </w:tcBorders>
            <w:shd w:val="clear" w:color="auto" w:fill="00A0E6"/>
            <w:tcMar>
              <w:top w:w="150" w:type="dxa"/>
              <w:left w:w="75" w:type="dxa"/>
              <w:bottom w:w="150" w:type="dxa"/>
              <w:right w:w="75" w:type="dxa"/>
            </w:tcMar>
            <w:hideMark/>
          </w:tcPr>
          <w:p w:rsidR="00124C48" w:rsidRPr="00BB4455" w:rsidRDefault="00124C48" w:rsidP="00124C48">
            <w:pPr>
              <w:spacing w:after="0" w:line="240" w:lineRule="auto"/>
              <w:rPr>
                <w:rFonts w:ascii="Arial" w:eastAsia="Times New Roman" w:hAnsi="Arial" w:cs="Arial"/>
                <w:color w:val="000000"/>
                <w:sz w:val="21"/>
                <w:szCs w:val="21"/>
                <w:lang w:eastAsia="en-GB"/>
              </w:rPr>
            </w:pPr>
          </w:p>
          <w:p w:rsidR="00471F61" w:rsidRPr="00BB4455" w:rsidRDefault="00471F61" w:rsidP="00124C48">
            <w:pPr>
              <w:spacing w:after="0" w:line="240" w:lineRule="auto"/>
              <w:rPr>
                <w:rFonts w:ascii="Arial" w:eastAsia="Times New Roman" w:hAnsi="Arial" w:cs="Arial"/>
                <w:color w:val="000000"/>
                <w:sz w:val="21"/>
                <w:szCs w:val="21"/>
                <w:lang w:eastAsia="en-GB"/>
              </w:rPr>
            </w:pPr>
          </w:p>
          <w:p w:rsidR="00471F61" w:rsidRPr="00BB4455" w:rsidRDefault="00471F61" w:rsidP="00124C48">
            <w:pPr>
              <w:spacing w:after="0" w:line="240" w:lineRule="auto"/>
              <w:rPr>
                <w:rFonts w:ascii="Arial" w:eastAsia="Times New Roman" w:hAnsi="Arial" w:cs="Arial"/>
                <w:color w:val="000000"/>
                <w:sz w:val="21"/>
                <w:szCs w:val="21"/>
                <w:lang w:eastAsia="en-GB"/>
              </w:rPr>
            </w:pPr>
          </w:p>
        </w:tc>
        <w:tc>
          <w:tcPr>
            <w:tcW w:w="5045" w:type="dxa"/>
            <w:tcBorders>
              <w:top w:val="single" w:sz="6" w:space="0" w:color="FFFFFF"/>
              <w:left w:val="single" w:sz="6" w:space="0" w:color="FFFFFF"/>
              <w:bottom w:val="single" w:sz="6" w:space="0" w:color="FFFFFF"/>
              <w:right w:val="single" w:sz="6" w:space="0" w:color="FFFFFF"/>
            </w:tcBorders>
            <w:shd w:val="clear" w:color="auto" w:fill="00A0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b/>
                <w:bCs/>
                <w:color w:val="FFFFFF"/>
                <w:sz w:val="21"/>
                <w:szCs w:val="21"/>
                <w:lang w:eastAsia="en-GB"/>
              </w:rPr>
            </w:pPr>
            <w:r w:rsidRPr="00BB4455">
              <w:rPr>
                <w:rFonts w:ascii="Arial" w:eastAsia="Times New Roman" w:hAnsi="Arial" w:cs="Arial"/>
                <w:b/>
                <w:bCs/>
                <w:color w:val="FFFFFF"/>
                <w:sz w:val="21"/>
                <w:szCs w:val="21"/>
                <w:lang w:eastAsia="en-GB"/>
              </w:rPr>
              <w:t>Question</w:t>
            </w:r>
          </w:p>
        </w:tc>
        <w:tc>
          <w:tcPr>
            <w:tcW w:w="1553" w:type="dxa"/>
            <w:tcBorders>
              <w:top w:val="single" w:sz="6" w:space="0" w:color="FFFFFF"/>
              <w:left w:val="single" w:sz="6" w:space="0" w:color="FFFFFF"/>
              <w:bottom w:val="single" w:sz="6" w:space="0" w:color="FFFFFF"/>
              <w:right w:val="single" w:sz="6" w:space="0" w:color="FFFFFF"/>
            </w:tcBorders>
            <w:shd w:val="clear" w:color="auto" w:fill="00A0E6"/>
            <w:tcMar>
              <w:top w:w="150" w:type="dxa"/>
              <w:left w:w="75" w:type="dxa"/>
              <w:bottom w:w="150" w:type="dxa"/>
              <w:right w:w="75" w:type="dxa"/>
            </w:tcMar>
            <w:hideMark/>
          </w:tcPr>
          <w:p w:rsidR="00124C48" w:rsidRPr="00BB4455" w:rsidRDefault="007471B4" w:rsidP="00A65D84">
            <w:pPr>
              <w:spacing w:after="210" w:line="360" w:lineRule="atLeast"/>
              <w:ind w:left="120" w:right="120"/>
              <w:jc w:val="center"/>
              <w:rPr>
                <w:rFonts w:ascii="Arial" w:eastAsia="Times New Roman" w:hAnsi="Arial" w:cs="Arial"/>
                <w:b/>
                <w:bCs/>
                <w:color w:val="FFFFFF"/>
                <w:sz w:val="21"/>
                <w:szCs w:val="21"/>
                <w:lang w:eastAsia="en-GB"/>
              </w:rPr>
            </w:pPr>
            <w:r w:rsidRPr="00BB4455">
              <w:rPr>
                <w:rFonts w:ascii="Arial" w:eastAsia="Times New Roman" w:hAnsi="Arial" w:cs="Arial"/>
                <w:b/>
                <w:bCs/>
                <w:color w:val="FFFFFF"/>
                <w:sz w:val="21"/>
                <w:szCs w:val="21"/>
                <w:lang w:eastAsia="en-GB"/>
              </w:rPr>
              <w:t>Answer 1</w:t>
            </w:r>
          </w:p>
        </w:tc>
        <w:tc>
          <w:tcPr>
            <w:tcW w:w="1486" w:type="dxa"/>
            <w:tcBorders>
              <w:top w:val="single" w:sz="6" w:space="0" w:color="FFFFFF"/>
              <w:left w:val="single" w:sz="6" w:space="0" w:color="FFFFFF"/>
              <w:bottom w:val="single" w:sz="6" w:space="0" w:color="FFFFFF"/>
              <w:right w:val="single" w:sz="6" w:space="0" w:color="FFFFFF"/>
            </w:tcBorders>
            <w:shd w:val="clear" w:color="auto" w:fill="00A0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b/>
                <w:bCs/>
                <w:color w:val="FFFFFF"/>
                <w:sz w:val="21"/>
                <w:szCs w:val="21"/>
                <w:lang w:eastAsia="en-GB"/>
              </w:rPr>
            </w:pPr>
            <w:r w:rsidRPr="00BB4455">
              <w:rPr>
                <w:rFonts w:ascii="Arial" w:eastAsia="Times New Roman" w:hAnsi="Arial" w:cs="Arial"/>
                <w:b/>
                <w:bCs/>
                <w:color w:val="FFFFFF"/>
                <w:sz w:val="21"/>
                <w:szCs w:val="21"/>
                <w:lang w:eastAsia="en-GB"/>
              </w:rPr>
              <w:t>Answer 2</w:t>
            </w:r>
          </w:p>
        </w:tc>
        <w:tc>
          <w:tcPr>
            <w:tcW w:w="1417" w:type="dxa"/>
            <w:tcBorders>
              <w:top w:val="single" w:sz="6" w:space="0" w:color="FFFFFF"/>
              <w:left w:val="single" w:sz="6" w:space="0" w:color="FFFFFF"/>
              <w:bottom w:val="single" w:sz="6" w:space="0" w:color="FFFFFF"/>
              <w:right w:val="single" w:sz="6" w:space="0" w:color="FFFFFF"/>
            </w:tcBorders>
            <w:shd w:val="clear" w:color="auto" w:fill="00A0E6"/>
            <w:tcMar>
              <w:top w:w="150" w:type="dxa"/>
              <w:left w:w="75" w:type="dxa"/>
              <w:bottom w:w="150" w:type="dxa"/>
              <w:right w:w="75" w:type="dxa"/>
            </w:tcMar>
            <w:hideMark/>
          </w:tcPr>
          <w:p w:rsidR="00124C48" w:rsidRPr="00BB4455" w:rsidRDefault="00124C48" w:rsidP="00A65D84">
            <w:pPr>
              <w:spacing w:after="210" w:line="360" w:lineRule="atLeast"/>
              <w:ind w:left="120" w:right="120"/>
              <w:jc w:val="center"/>
              <w:rPr>
                <w:rFonts w:ascii="Arial" w:eastAsia="Times New Roman" w:hAnsi="Arial" w:cs="Arial"/>
                <w:b/>
                <w:bCs/>
                <w:color w:val="FFFFFF"/>
                <w:sz w:val="21"/>
                <w:szCs w:val="21"/>
                <w:lang w:eastAsia="en-GB"/>
              </w:rPr>
            </w:pPr>
            <w:r w:rsidRPr="00BB4455">
              <w:rPr>
                <w:rFonts w:ascii="Arial" w:eastAsia="Times New Roman" w:hAnsi="Arial" w:cs="Arial"/>
                <w:b/>
                <w:bCs/>
                <w:color w:val="FFFFFF"/>
                <w:sz w:val="21"/>
                <w:szCs w:val="21"/>
                <w:lang w:eastAsia="en-GB"/>
              </w:rPr>
              <w:t>Answer 3</w:t>
            </w:r>
          </w:p>
        </w:tc>
      </w:tr>
      <w:tr w:rsidR="00124C48" w:rsidRPr="00BB4455" w:rsidTr="00BB4455">
        <w:trPr>
          <w:tblCellSpacing w:w="0" w:type="dxa"/>
        </w:trPr>
        <w:tc>
          <w:tcPr>
            <w:tcW w:w="70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w:t>
            </w:r>
          </w:p>
        </w:tc>
        <w:tc>
          <w:tcPr>
            <w:tcW w:w="504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I understand that complex instruments by nature may have a high degree of leverage which will magnify any potential profits or losses and could lead to me losing significantly more money than originally invested?</w:t>
            </w:r>
          </w:p>
        </w:tc>
        <w:tc>
          <w:tcPr>
            <w:tcW w:w="1553"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Yes</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86"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Don’t Know</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r>
      <w:tr w:rsidR="00124C48" w:rsidRPr="00BB4455" w:rsidTr="00BB4455">
        <w:trPr>
          <w:tblCellSpacing w:w="0" w:type="dxa"/>
        </w:trPr>
        <w:tc>
          <w:tcPr>
            <w:tcW w:w="70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2</w:t>
            </w:r>
          </w:p>
        </w:tc>
        <w:tc>
          <w:tcPr>
            <w:tcW w:w="504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I understand that the opportunity to sell a complex instrument may be limited in comparison to trading shares on a main market?</w:t>
            </w:r>
          </w:p>
        </w:tc>
        <w:tc>
          <w:tcPr>
            <w:tcW w:w="1553"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Yes</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86"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Don’t Know</w:t>
            </w:r>
          </w:p>
          <w:p w:rsidR="00257665" w:rsidRPr="00BB4455" w:rsidRDefault="00257665" w:rsidP="007471B4">
            <w:pPr>
              <w:spacing w:after="210" w:line="360" w:lineRule="atLeast"/>
              <w:ind w:left="120" w:right="120"/>
              <w:jc w:val="center"/>
              <w:rPr>
                <w:rFonts w:ascii="Arial" w:eastAsia="Times New Roman" w:hAnsi="Arial" w:cs="Arial"/>
                <w:color w:val="000000"/>
                <w:sz w:val="21"/>
                <w:szCs w:val="21"/>
                <w:lang w:eastAsia="en-GB"/>
              </w:rPr>
            </w:pPr>
          </w:p>
        </w:tc>
      </w:tr>
      <w:tr w:rsidR="00124C48" w:rsidRPr="00BB4455" w:rsidTr="00BB4455">
        <w:trPr>
          <w:tblCellSpacing w:w="0" w:type="dxa"/>
        </w:trPr>
        <w:tc>
          <w:tcPr>
            <w:tcW w:w="70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3</w:t>
            </w:r>
          </w:p>
        </w:tc>
        <w:tc>
          <w:tcPr>
            <w:tcW w:w="504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I understand that information will not always be publicly available for complex instruments?</w:t>
            </w:r>
          </w:p>
        </w:tc>
        <w:tc>
          <w:tcPr>
            <w:tcW w:w="1553"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Yes</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86"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A65D8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Don’t Know</w:t>
            </w:r>
          </w:p>
        </w:tc>
      </w:tr>
      <w:tr w:rsidR="00124C48" w:rsidRPr="00BB4455" w:rsidTr="00BB4455">
        <w:trPr>
          <w:tblCellSpacing w:w="0" w:type="dxa"/>
        </w:trPr>
        <w:tc>
          <w:tcPr>
            <w:tcW w:w="70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lastRenderedPageBreak/>
              <w:t>4</w:t>
            </w:r>
          </w:p>
        </w:tc>
        <w:tc>
          <w:tcPr>
            <w:tcW w:w="504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I understand that complex instruments can be derivative based and I will not necessarily hold any underlying asset?</w:t>
            </w:r>
          </w:p>
        </w:tc>
        <w:tc>
          <w:tcPr>
            <w:tcW w:w="1553"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Yes</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86"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C30D39">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Don’t Kno</w:t>
            </w:r>
            <w:r w:rsidR="00C30D39" w:rsidRPr="00BB4455">
              <w:rPr>
                <w:rFonts w:ascii="Arial" w:eastAsia="Times New Roman" w:hAnsi="Arial" w:cs="Arial"/>
                <w:color w:val="000000"/>
                <w:sz w:val="21"/>
                <w:szCs w:val="21"/>
                <w:lang w:eastAsia="en-GB"/>
              </w:rPr>
              <w:t>w</w:t>
            </w:r>
          </w:p>
        </w:tc>
      </w:tr>
      <w:tr w:rsidR="00124C48" w:rsidRPr="00BB4455" w:rsidTr="00BB4455">
        <w:trPr>
          <w:tblCellSpacing w:w="0" w:type="dxa"/>
        </w:trPr>
        <w:tc>
          <w:tcPr>
            <w:tcW w:w="70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w:t>
            </w:r>
          </w:p>
        </w:tc>
        <w:tc>
          <w:tcPr>
            <w:tcW w:w="504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I understand the risk profile of complex instruments and how they fit with my investment objectives and attitude to risk?</w:t>
            </w:r>
          </w:p>
        </w:tc>
        <w:tc>
          <w:tcPr>
            <w:tcW w:w="1553"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Yes</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86"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Don’t Know</w:t>
            </w:r>
          </w:p>
          <w:p w:rsidR="00124C48" w:rsidRPr="00BB4455" w:rsidRDefault="00124C48" w:rsidP="007471B4">
            <w:pPr>
              <w:spacing w:after="210" w:line="360" w:lineRule="atLeast"/>
              <w:ind w:left="120" w:right="120"/>
              <w:jc w:val="center"/>
              <w:rPr>
                <w:rFonts w:ascii="Arial" w:eastAsia="Times New Roman" w:hAnsi="Arial" w:cs="Arial"/>
                <w:color w:val="000000"/>
                <w:sz w:val="21"/>
                <w:szCs w:val="21"/>
                <w:lang w:eastAsia="en-GB"/>
              </w:rPr>
            </w:pPr>
          </w:p>
        </w:tc>
      </w:tr>
    </w:tbl>
    <w:p w:rsidR="00124C48" w:rsidRPr="00BB4455" w:rsidRDefault="00124C48" w:rsidP="00124C48">
      <w:pPr>
        <w:spacing w:after="0" w:line="240" w:lineRule="auto"/>
        <w:rPr>
          <w:rFonts w:ascii="Arial" w:eastAsia="Times New Roman" w:hAnsi="Arial" w:cs="Arial"/>
          <w:vanish/>
          <w:sz w:val="21"/>
          <w:szCs w:val="21"/>
          <w:lang w:eastAsia="en-GB"/>
        </w:rPr>
      </w:pPr>
    </w:p>
    <w:tbl>
      <w:tblPr>
        <w:tblW w:w="10256" w:type="dxa"/>
        <w:tblCellSpacing w:w="0" w:type="dxa"/>
        <w:tblInd w:w="-575" w:type="dxa"/>
        <w:tblLayout w:type="fixed"/>
        <w:tblCellMar>
          <w:top w:w="15" w:type="dxa"/>
          <w:left w:w="15" w:type="dxa"/>
          <w:bottom w:w="15" w:type="dxa"/>
          <w:right w:w="15" w:type="dxa"/>
        </w:tblCellMar>
        <w:tblLook w:val="04A0" w:firstRow="1" w:lastRow="0" w:firstColumn="1" w:lastColumn="0" w:noHBand="0" w:noVBand="1"/>
      </w:tblPr>
      <w:tblGrid>
        <w:gridCol w:w="709"/>
        <w:gridCol w:w="3848"/>
        <w:gridCol w:w="1255"/>
        <w:gridCol w:w="1559"/>
        <w:gridCol w:w="1418"/>
        <w:gridCol w:w="1417"/>
        <w:gridCol w:w="50"/>
      </w:tblGrid>
      <w:tr w:rsidR="00CA05B4" w:rsidRPr="00BB4455" w:rsidTr="00BB4455">
        <w:trPr>
          <w:gridAfter w:val="1"/>
          <w:wAfter w:w="50" w:type="dxa"/>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6</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How many times a year do you trade in shares, bonds, fixed interest stocks</w:t>
            </w:r>
            <w:r w:rsidR="00382D37" w:rsidRPr="00BB4455">
              <w:rPr>
                <w:rFonts w:ascii="Arial" w:eastAsia="Times New Roman" w:hAnsi="Arial" w:cs="Arial"/>
                <w:color w:val="000000"/>
                <w:sz w:val="21"/>
                <w:szCs w:val="21"/>
                <w:lang w:eastAsia="en-GB"/>
              </w:rPr>
              <w:t>, index</w:t>
            </w:r>
            <w:r w:rsidR="00CA05B4" w:rsidRPr="00BB4455">
              <w:rPr>
                <w:rFonts w:ascii="Arial" w:eastAsia="Times New Roman" w:hAnsi="Arial" w:cs="Arial"/>
                <w:color w:val="000000"/>
                <w:sz w:val="21"/>
                <w:szCs w:val="21"/>
                <w:lang w:eastAsia="en-GB"/>
              </w:rPr>
              <w:t>-linked debt, defaulted bonds</w:t>
            </w:r>
            <w:r w:rsidRPr="00BB4455">
              <w:rPr>
                <w:rFonts w:ascii="Arial" w:eastAsia="Times New Roman" w:hAnsi="Arial" w:cs="Arial"/>
                <w:color w:val="000000"/>
                <w:sz w:val="21"/>
                <w:szCs w:val="21"/>
                <w:lang w:eastAsia="en-GB"/>
              </w:rPr>
              <w:t xml:space="preserve"> or funds?</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 or less</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6-20</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21+</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r>
      <w:tr w:rsidR="00CA05B4" w:rsidRPr="00BB4455" w:rsidTr="00BB4455">
        <w:trPr>
          <w:gridAfter w:val="1"/>
          <w:wAfter w:w="50" w:type="dxa"/>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7</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How many times a year do you trade in warrants, convertibles, nil paid rights or ‘over-the-counter’ (OTC) shares</w:t>
            </w:r>
            <w:r w:rsidR="00CA05B4" w:rsidRPr="00BB4455">
              <w:rPr>
                <w:rFonts w:ascii="Arial" w:eastAsia="Times New Roman" w:hAnsi="Arial" w:cs="Arial"/>
                <w:color w:val="000000"/>
                <w:sz w:val="21"/>
                <w:szCs w:val="21"/>
                <w:lang w:eastAsia="en-GB"/>
              </w:rPr>
              <w:t>, preference shares</w:t>
            </w:r>
            <w:r w:rsidRPr="00BB4455">
              <w:rPr>
                <w:rFonts w:ascii="Arial" w:eastAsia="Times New Roman" w:hAnsi="Arial" w:cs="Arial"/>
                <w:color w:val="000000"/>
                <w:sz w:val="21"/>
                <w:szCs w:val="21"/>
                <w:lang w:eastAsia="en-GB"/>
              </w:rPr>
              <w:t>?</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 or less</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6-20</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21+</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r>
      <w:tr w:rsidR="00CA05B4" w:rsidRPr="00BB4455" w:rsidTr="00BB4455">
        <w:trPr>
          <w:gridAfter w:val="1"/>
          <w:wAfter w:w="50" w:type="dxa"/>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8</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 xml:space="preserve">How many times a year do you trade in </w:t>
            </w:r>
            <w:r w:rsidR="00CA05B4" w:rsidRPr="00BB4455">
              <w:rPr>
                <w:rFonts w:ascii="Arial" w:eastAsia="Times New Roman" w:hAnsi="Arial" w:cs="Arial"/>
                <w:color w:val="000000"/>
                <w:sz w:val="21"/>
                <w:szCs w:val="21"/>
                <w:lang w:eastAsia="en-GB"/>
              </w:rPr>
              <w:t>Asset backed securities, mortgage backed securities, exchange traded commodities (ETC), structured/hybrid products or</w:t>
            </w:r>
            <w:r w:rsidRPr="00BB4455">
              <w:rPr>
                <w:rFonts w:ascii="Arial" w:eastAsia="Times New Roman" w:hAnsi="Arial" w:cs="Arial"/>
                <w:color w:val="000000"/>
                <w:sz w:val="21"/>
                <w:szCs w:val="21"/>
                <w:lang w:eastAsia="en-GB"/>
              </w:rPr>
              <w:t xml:space="preserve"> other ‘complex’ instruments?</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 or less</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6-20</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21+</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r>
      <w:tr w:rsidR="00CA05B4" w:rsidRPr="00BB4455" w:rsidTr="00BB4455">
        <w:trPr>
          <w:gridAfter w:val="1"/>
          <w:wAfter w:w="50" w:type="dxa"/>
          <w:trHeight w:val="1674"/>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9</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 xml:space="preserve">How many years’ experience </w:t>
            </w:r>
            <w:proofErr w:type="gramStart"/>
            <w:r w:rsidRPr="00BB4455">
              <w:rPr>
                <w:rFonts w:ascii="Arial" w:eastAsia="Times New Roman" w:hAnsi="Arial" w:cs="Arial"/>
                <w:color w:val="000000"/>
                <w:sz w:val="21"/>
                <w:szCs w:val="21"/>
                <w:lang w:eastAsia="en-GB"/>
              </w:rPr>
              <w:t>do</w:t>
            </w:r>
            <w:proofErr w:type="gramEnd"/>
            <w:r w:rsidRPr="00BB4455">
              <w:rPr>
                <w:rFonts w:ascii="Arial" w:eastAsia="Times New Roman" w:hAnsi="Arial" w:cs="Arial"/>
                <w:color w:val="000000"/>
                <w:sz w:val="21"/>
                <w:szCs w:val="21"/>
                <w:lang w:eastAsia="en-GB"/>
              </w:rPr>
              <w:t xml:space="preserve"> you have trading in shares, bonds, fixed interest stocks</w:t>
            </w:r>
            <w:r w:rsidR="00CA05B4" w:rsidRPr="00BB4455">
              <w:rPr>
                <w:rFonts w:ascii="Arial" w:eastAsia="Times New Roman" w:hAnsi="Arial" w:cs="Arial"/>
                <w:color w:val="000000"/>
                <w:sz w:val="21"/>
                <w:szCs w:val="21"/>
                <w:lang w:eastAsia="en-GB"/>
              </w:rPr>
              <w:t xml:space="preserve">, index-linked debt, equity </w:t>
            </w:r>
            <w:r w:rsidR="009E55DB" w:rsidRPr="00BB4455">
              <w:rPr>
                <w:rFonts w:ascii="Arial" w:eastAsia="Times New Roman" w:hAnsi="Arial" w:cs="Arial"/>
                <w:color w:val="000000"/>
                <w:sz w:val="21"/>
                <w:szCs w:val="21"/>
                <w:lang w:eastAsia="en-GB"/>
              </w:rPr>
              <w:t>li</w:t>
            </w:r>
            <w:r w:rsidR="00CA05B4" w:rsidRPr="00BB4455">
              <w:rPr>
                <w:rFonts w:ascii="Arial" w:eastAsia="Times New Roman" w:hAnsi="Arial" w:cs="Arial"/>
                <w:color w:val="000000"/>
                <w:sz w:val="21"/>
                <w:szCs w:val="21"/>
                <w:lang w:eastAsia="en-GB"/>
              </w:rPr>
              <w:t>nked notes, defaulted bonds</w:t>
            </w:r>
            <w:r w:rsidRPr="00BB4455">
              <w:rPr>
                <w:rFonts w:ascii="Arial" w:eastAsia="Times New Roman" w:hAnsi="Arial" w:cs="Arial"/>
                <w:color w:val="000000"/>
                <w:sz w:val="21"/>
                <w:szCs w:val="21"/>
                <w:lang w:eastAsia="en-GB"/>
              </w:rPr>
              <w:t xml:space="preserve"> or funds?</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Less than 1</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1-4</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A65D84" w:rsidRPr="00BB4455" w:rsidRDefault="00124C48" w:rsidP="00A65D84">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w:t>
            </w:r>
            <w:r w:rsidR="00A65D84" w:rsidRPr="00BB4455">
              <w:rPr>
                <w:rFonts w:ascii="Arial" w:eastAsia="Times New Roman" w:hAnsi="Arial" w:cs="Arial"/>
                <w:color w:val="000000"/>
                <w:sz w:val="21"/>
                <w:szCs w:val="21"/>
                <w:lang w:eastAsia="en-GB"/>
              </w:rPr>
              <w:t>+</w:t>
            </w:r>
          </w:p>
        </w:tc>
      </w:tr>
      <w:tr w:rsidR="00CA05B4" w:rsidRPr="00BB4455" w:rsidTr="00BB4455">
        <w:trPr>
          <w:gridAfter w:val="1"/>
          <w:wAfter w:w="50" w:type="dxa"/>
          <w:trHeight w:val="1819"/>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10</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 xml:space="preserve">How many years’ experience </w:t>
            </w:r>
            <w:proofErr w:type="gramStart"/>
            <w:r w:rsidRPr="00BB4455">
              <w:rPr>
                <w:rFonts w:ascii="Arial" w:eastAsia="Times New Roman" w:hAnsi="Arial" w:cs="Arial"/>
                <w:color w:val="000000"/>
                <w:sz w:val="21"/>
                <w:szCs w:val="21"/>
                <w:lang w:eastAsia="en-GB"/>
              </w:rPr>
              <w:t>do</w:t>
            </w:r>
            <w:proofErr w:type="gramEnd"/>
            <w:r w:rsidRPr="00BB4455">
              <w:rPr>
                <w:rFonts w:ascii="Arial" w:eastAsia="Times New Roman" w:hAnsi="Arial" w:cs="Arial"/>
                <w:color w:val="000000"/>
                <w:sz w:val="21"/>
                <w:szCs w:val="21"/>
                <w:lang w:eastAsia="en-GB"/>
              </w:rPr>
              <w:t xml:space="preserve"> you have trading in warrants, convertibles, nil paid rights or ‘over-the-counter’ (OTC) shares</w:t>
            </w:r>
            <w:r w:rsidR="00CA05B4" w:rsidRPr="00BB4455">
              <w:rPr>
                <w:rFonts w:ascii="Arial" w:eastAsia="Times New Roman" w:hAnsi="Arial" w:cs="Arial"/>
                <w:color w:val="000000"/>
                <w:sz w:val="21"/>
                <w:szCs w:val="21"/>
                <w:lang w:eastAsia="en-GB"/>
              </w:rPr>
              <w:t xml:space="preserve"> or preference shares</w:t>
            </w:r>
            <w:r w:rsidRPr="00BB4455">
              <w:rPr>
                <w:rFonts w:ascii="Arial" w:eastAsia="Times New Roman" w:hAnsi="Arial" w:cs="Arial"/>
                <w:color w:val="000000"/>
                <w:sz w:val="21"/>
                <w:szCs w:val="21"/>
                <w:lang w:eastAsia="en-GB"/>
              </w:rPr>
              <w:t>?</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Less than 1</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1-4</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r>
      <w:tr w:rsidR="00CA05B4" w:rsidRPr="00BB4455" w:rsidTr="00BB4455">
        <w:trPr>
          <w:gridAfter w:val="1"/>
          <w:wAfter w:w="50" w:type="dxa"/>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11</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 xml:space="preserve">How many years’ experience </w:t>
            </w:r>
            <w:proofErr w:type="gramStart"/>
            <w:r w:rsidRPr="00BB4455">
              <w:rPr>
                <w:rFonts w:ascii="Arial" w:eastAsia="Times New Roman" w:hAnsi="Arial" w:cs="Arial"/>
                <w:color w:val="000000"/>
                <w:sz w:val="21"/>
                <w:szCs w:val="21"/>
                <w:lang w:eastAsia="en-GB"/>
              </w:rPr>
              <w:t>do</w:t>
            </w:r>
            <w:proofErr w:type="gramEnd"/>
            <w:r w:rsidRPr="00BB4455">
              <w:rPr>
                <w:rFonts w:ascii="Arial" w:eastAsia="Times New Roman" w:hAnsi="Arial" w:cs="Arial"/>
                <w:color w:val="000000"/>
                <w:sz w:val="21"/>
                <w:szCs w:val="21"/>
                <w:lang w:eastAsia="en-GB"/>
              </w:rPr>
              <w:t xml:space="preserve"> you have trading in </w:t>
            </w:r>
            <w:r w:rsidR="00CA05B4" w:rsidRPr="00BB4455">
              <w:rPr>
                <w:rFonts w:ascii="Arial" w:eastAsia="Times New Roman" w:hAnsi="Arial" w:cs="Arial"/>
                <w:color w:val="000000"/>
                <w:sz w:val="21"/>
                <w:szCs w:val="21"/>
                <w:lang w:eastAsia="en-GB"/>
              </w:rPr>
              <w:t xml:space="preserve">Asset backed securities, mortgage backed securities, exchange traded commodities (ETC), structured/hybrid products or other ‘complex’ instruments? </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Less than 1</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1-4</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c>
          <w:tcPr>
            <w:tcW w:w="1417"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5+</w:t>
            </w:r>
          </w:p>
          <w:p w:rsidR="00124C48" w:rsidRPr="00BB4455" w:rsidRDefault="00124C48" w:rsidP="00D56031">
            <w:pPr>
              <w:spacing w:after="210" w:line="360" w:lineRule="atLeast"/>
              <w:ind w:left="120" w:right="120"/>
              <w:jc w:val="center"/>
              <w:rPr>
                <w:rFonts w:ascii="Arial" w:eastAsia="Times New Roman" w:hAnsi="Arial" w:cs="Arial"/>
                <w:color w:val="000000"/>
                <w:sz w:val="21"/>
                <w:szCs w:val="21"/>
                <w:lang w:eastAsia="en-GB"/>
              </w:rPr>
            </w:pPr>
          </w:p>
        </w:tc>
      </w:tr>
      <w:tr w:rsidR="00C77DAA" w:rsidRPr="00BB4455" w:rsidTr="00BB4455">
        <w:trPr>
          <w:gridAfter w:val="1"/>
          <w:wAfter w:w="50" w:type="dxa"/>
          <w:trHeight w:val="735"/>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C77DAA" w:rsidRPr="00BB4455" w:rsidRDefault="00C77DAA"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12</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C77DAA" w:rsidRPr="00BB4455" w:rsidRDefault="00C77DAA"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Have you traded in complex instruments in a professional capacity in the last 5 years?</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C77DAA" w:rsidRPr="00BB4455" w:rsidRDefault="00C77DAA"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Yes</w:t>
            </w:r>
          </w:p>
          <w:p w:rsidR="00C77DAA" w:rsidRPr="00BB4455" w:rsidRDefault="00C77DAA" w:rsidP="00124C48">
            <w:pPr>
              <w:spacing w:after="210" w:line="360" w:lineRule="atLeast"/>
              <w:ind w:left="120" w:right="120"/>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C77DAA" w:rsidRPr="00BB4455" w:rsidRDefault="00C77DAA"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w:t>
            </w:r>
          </w:p>
          <w:p w:rsidR="00C77DAA" w:rsidRPr="00BB4455" w:rsidRDefault="00C77DAA" w:rsidP="00124C48">
            <w:pPr>
              <w:spacing w:after="210" w:line="360" w:lineRule="atLeast"/>
              <w:ind w:left="120" w:right="120"/>
              <w:rPr>
                <w:rFonts w:ascii="Arial" w:eastAsia="Times New Roman" w:hAnsi="Arial" w:cs="Arial"/>
                <w:color w:val="000000"/>
                <w:sz w:val="21"/>
                <w:szCs w:val="21"/>
                <w:lang w:eastAsia="en-GB"/>
              </w:rPr>
            </w:pPr>
          </w:p>
        </w:tc>
        <w:tc>
          <w:tcPr>
            <w:tcW w:w="2835" w:type="dxa"/>
            <w:gridSpan w:val="2"/>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C77DAA" w:rsidRPr="00BB4455" w:rsidRDefault="00C77DAA" w:rsidP="005C0F19">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Don’t Know</w:t>
            </w:r>
          </w:p>
        </w:tc>
      </w:tr>
      <w:tr w:rsidR="00B34094" w:rsidRPr="00BB4455" w:rsidTr="00BB4455">
        <w:trPr>
          <w:trHeight w:val="623"/>
          <w:tblCellSpacing w:w="0" w:type="dxa"/>
        </w:trPr>
        <w:tc>
          <w:tcPr>
            <w:tcW w:w="70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13</w:t>
            </w:r>
          </w:p>
        </w:tc>
        <w:tc>
          <w:tcPr>
            <w:tcW w:w="3848"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What qualifications do you have that are relevant to the dealing envisioned?</w:t>
            </w:r>
          </w:p>
        </w:tc>
        <w:tc>
          <w:tcPr>
            <w:tcW w:w="1255"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None</w:t>
            </w:r>
          </w:p>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Academic</w:t>
            </w:r>
          </w:p>
          <w:p w:rsidR="00124C48" w:rsidRPr="00BB4455" w:rsidRDefault="00124C48" w:rsidP="00124C48">
            <w:pPr>
              <w:spacing w:after="210" w:line="360" w:lineRule="atLeast"/>
              <w:ind w:left="120" w:right="120"/>
              <w:rPr>
                <w:rFonts w:ascii="Arial" w:eastAsia="Times New Roman" w:hAnsi="Arial" w:cs="Arial"/>
                <w:color w:val="000000"/>
                <w:sz w:val="21"/>
                <w:szCs w:val="21"/>
                <w:lang w:eastAsia="en-GB"/>
              </w:rPr>
            </w:pPr>
          </w:p>
        </w:tc>
        <w:tc>
          <w:tcPr>
            <w:tcW w:w="2835" w:type="dxa"/>
            <w:gridSpan w:val="2"/>
            <w:tcBorders>
              <w:top w:val="single" w:sz="6" w:space="0" w:color="FFFFFF"/>
              <w:left w:val="single" w:sz="6" w:space="0" w:color="FFFFFF"/>
              <w:bottom w:val="single" w:sz="6" w:space="0" w:color="FFFFFF"/>
              <w:right w:val="single" w:sz="6" w:space="0" w:color="FFFFFF"/>
            </w:tcBorders>
            <w:shd w:val="clear" w:color="auto" w:fill="E6E6E6"/>
            <w:tcMar>
              <w:top w:w="150" w:type="dxa"/>
              <w:left w:w="75" w:type="dxa"/>
              <w:bottom w:w="150" w:type="dxa"/>
              <w:right w:w="75" w:type="dxa"/>
            </w:tcMar>
            <w:hideMark/>
          </w:tcPr>
          <w:p w:rsidR="00124C48" w:rsidRPr="00BB4455" w:rsidRDefault="00124C48" w:rsidP="00A65D84">
            <w:pPr>
              <w:spacing w:after="210" w:line="360" w:lineRule="atLeast"/>
              <w:ind w:left="120" w:right="120"/>
              <w:rPr>
                <w:rFonts w:ascii="Arial" w:eastAsia="Times New Roman" w:hAnsi="Arial" w:cs="Arial"/>
                <w:color w:val="000000"/>
                <w:sz w:val="21"/>
                <w:szCs w:val="21"/>
                <w:lang w:eastAsia="en-GB"/>
              </w:rPr>
            </w:pPr>
            <w:r w:rsidRPr="00BB4455">
              <w:rPr>
                <w:rFonts w:ascii="Arial" w:eastAsia="Times New Roman" w:hAnsi="Arial" w:cs="Arial"/>
                <w:color w:val="000000"/>
                <w:sz w:val="21"/>
                <w:szCs w:val="21"/>
                <w:lang w:eastAsia="en-GB"/>
              </w:rPr>
              <w:t>Professional</w:t>
            </w:r>
          </w:p>
        </w:tc>
        <w:tc>
          <w:tcPr>
            <w:tcW w:w="50" w:type="dxa"/>
            <w:vAlign w:val="center"/>
            <w:hideMark/>
          </w:tcPr>
          <w:p w:rsidR="00124C48" w:rsidRPr="00BB4455" w:rsidRDefault="00124C48" w:rsidP="00124C48">
            <w:pPr>
              <w:spacing w:after="0" w:line="240" w:lineRule="auto"/>
              <w:rPr>
                <w:rFonts w:ascii="Arial" w:eastAsia="Times New Roman" w:hAnsi="Arial" w:cs="Arial"/>
                <w:sz w:val="21"/>
                <w:szCs w:val="21"/>
                <w:lang w:eastAsia="en-GB"/>
              </w:rPr>
            </w:pPr>
            <w:r w:rsidRPr="00BB4455">
              <w:rPr>
                <w:rFonts w:ascii="Arial" w:eastAsia="Times New Roman" w:hAnsi="Arial" w:cs="Arial"/>
                <w:sz w:val="21"/>
                <w:szCs w:val="21"/>
                <w:lang w:eastAsia="en-GB"/>
              </w:rPr>
              <w:br/>
            </w:r>
          </w:p>
        </w:tc>
      </w:tr>
    </w:tbl>
    <w:p w:rsidR="009E55DB" w:rsidRPr="00BB4455" w:rsidRDefault="009E55DB" w:rsidP="00A4221D">
      <w:pPr>
        <w:rPr>
          <w:rFonts w:ascii="Arial" w:hAnsi="Arial" w:cs="Arial"/>
          <w:sz w:val="21"/>
          <w:szCs w:val="21"/>
        </w:rPr>
      </w:pPr>
    </w:p>
    <w:p w:rsidR="00257665" w:rsidRPr="00BB4455" w:rsidRDefault="00830A9B" w:rsidP="00F95322">
      <w:pPr>
        <w:ind w:hanging="567"/>
        <w:rPr>
          <w:rFonts w:ascii="Arial" w:hAnsi="Arial" w:cs="Arial"/>
          <w:sz w:val="21"/>
          <w:szCs w:val="21"/>
        </w:rPr>
      </w:pPr>
      <w:r w:rsidRPr="00BB4455">
        <w:rPr>
          <w:rFonts w:ascii="Arial" w:hAnsi="Arial" w:cs="Arial"/>
          <w:sz w:val="21"/>
          <w:szCs w:val="21"/>
        </w:rPr>
        <w:t>Please state the highest level of education attained ie. O</w:t>
      </w:r>
      <w:r w:rsidR="009223F8" w:rsidRPr="00BB4455">
        <w:rPr>
          <w:rFonts w:ascii="Arial" w:hAnsi="Arial" w:cs="Arial"/>
          <w:sz w:val="21"/>
          <w:szCs w:val="21"/>
        </w:rPr>
        <w:t>-l</w:t>
      </w:r>
      <w:r w:rsidRPr="00BB4455">
        <w:rPr>
          <w:rFonts w:ascii="Arial" w:hAnsi="Arial" w:cs="Arial"/>
          <w:sz w:val="21"/>
          <w:szCs w:val="21"/>
        </w:rPr>
        <w:t>evels / A</w:t>
      </w:r>
      <w:r w:rsidR="009223F8" w:rsidRPr="00BB4455">
        <w:rPr>
          <w:rFonts w:ascii="Arial" w:hAnsi="Arial" w:cs="Arial"/>
          <w:sz w:val="21"/>
          <w:szCs w:val="21"/>
        </w:rPr>
        <w:t>-l</w:t>
      </w:r>
      <w:r w:rsidRPr="00BB4455">
        <w:rPr>
          <w:rFonts w:ascii="Arial" w:hAnsi="Arial" w:cs="Arial"/>
          <w:sz w:val="21"/>
          <w:szCs w:val="21"/>
        </w:rPr>
        <w:t>evels / Degree etc:</w:t>
      </w:r>
    </w:p>
    <w:p w:rsidR="00830A9B" w:rsidRPr="00BB4455" w:rsidRDefault="009858B4" w:rsidP="00F95322">
      <w:pPr>
        <w:ind w:hanging="567"/>
        <w:rPr>
          <w:rFonts w:ascii="Arial" w:hAnsi="Arial" w:cs="Arial"/>
          <w:sz w:val="21"/>
          <w:szCs w:val="21"/>
        </w:rPr>
      </w:pPr>
      <w:r w:rsidRPr="00BB4455">
        <w:rPr>
          <w:rFonts w:ascii="Arial" w:hAnsi="Arial" w:cs="Arial"/>
          <w:sz w:val="21"/>
          <w:szCs w:val="21"/>
        </w:rPr>
        <w:t xml:space="preserve">What is / was your </w:t>
      </w:r>
      <w:r w:rsidR="00163B5B" w:rsidRPr="00BB4455">
        <w:rPr>
          <w:rFonts w:ascii="Arial" w:hAnsi="Arial" w:cs="Arial"/>
          <w:sz w:val="21"/>
          <w:szCs w:val="21"/>
        </w:rPr>
        <w:t>o</w:t>
      </w:r>
      <w:r w:rsidR="00830A9B" w:rsidRPr="00BB4455">
        <w:rPr>
          <w:rFonts w:ascii="Arial" w:hAnsi="Arial" w:cs="Arial"/>
          <w:sz w:val="21"/>
          <w:szCs w:val="21"/>
        </w:rPr>
        <w:t>ccupation or</w:t>
      </w:r>
      <w:r w:rsidR="00C67008" w:rsidRPr="00BB4455">
        <w:rPr>
          <w:rFonts w:ascii="Arial" w:hAnsi="Arial" w:cs="Arial"/>
          <w:sz w:val="21"/>
          <w:szCs w:val="21"/>
        </w:rPr>
        <w:t>, if retired, you</w:t>
      </w:r>
      <w:r w:rsidR="001704C2" w:rsidRPr="00BB4455">
        <w:rPr>
          <w:rFonts w:ascii="Arial" w:hAnsi="Arial" w:cs="Arial"/>
          <w:sz w:val="21"/>
          <w:szCs w:val="21"/>
        </w:rPr>
        <w:t>r</w:t>
      </w:r>
      <w:r w:rsidR="00830A9B" w:rsidRPr="00BB4455">
        <w:rPr>
          <w:rFonts w:ascii="Arial" w:hAnsi="Arial" w:cs="Arial"/>
          <w:sz w:val="21"/>
          <w:szCs w:val="21"/>
        </w:rPr>
        <w:t xml:space="preserve"> </w:t>
      </w:r>
      <w:r w:rsidR="00163B5B" w:rsidRPr="00BB4455">
        <w:rPr>
          <w:rFonts w:ascii="Arial" w:hAnsi="Arial" w:cs="Arial"/>
          <w:sz w:val="21"/>
          <w:szCs w:val="21"/>
        </w:rPr>
        <w:t>f</w:t>
      </w:r>
      <w:r w:rsidR="00830A9B" w:rsidRPr="00BB4455">
        <w:rPr>
          <w:rFonts w:ascii="Arial" w:hAnsi="Arial" w:cs="Arial"/>
          <w:sz w:val="21"/>
          <w:szCs w:val="21"/>
        </w:rPr>
        <w:t xml:space="preserve">ormer </w:t>
      </w:r>
      <w:proofErr w:type="gramStart"/>
      <w:r w:rsidR="00163B5B" w:rsidRPr="00BB4455">
        <w:rPr>
          <w:rFonts w:ascii="Arial" w:hAnsi="Arial" w:cs="Arial"/>
          <w:sz w:val="21"/>
          <w:szCs w:val="21"/>
        </w:rPr>
        <w:t>o</w:t>
      </w:r>
      <w:r w:rsidR="00830A9B" w:rsidRPr="00BB4455">
        <w:rPr>
          <w:rFonts w:ascii="Arial" w:hAnsi="Arial" w:cs="Arial"/>
          <w:sz w:val="21"/>
          <w:szCs w:val="21"/>
        </w:rPr>
        <w:t>ccupation</w:t>
      </w:r>
      <w:r w:rsidRPr="00BB4455">
        <w:rPr>
          <w:rFonts w:ascii="Arial" w:hAnsi="Arial" w:cs="Arial"/>
          <w:sz w:val="21"/>
          <w:szCs w:val="21"/>
        </w:rPr>
        <w:t>?</w:t>
      </w:r>
      <w:r w:rsidR="00830A9B" w:rsidRPr="00BB4455">
        <w:rPr>
          <w:rFonts w:ascii="Arial" w:hAnsi="Arial" w:cs="Arial"/>
          <w:sz w:val="21"/>
          <w:szCs w:val="21"/>
        </w:rPr>
        <w:t>:</w:t>
      </w:r>
      <w:proofErr w:type="gramEnd"/>
      <w:r w:rsidR="00830A9B" w:rsidRPr="00BB4455">
        <w:rPr>
          <w:rFonts w:ascii="Arial" w:hAnsi="Arial" w:cs="Arial"/>
          <w:sz w:val="21"/>
          <w:szCs w:val="21"/>
        </w:rPr>
        <w:t xml:space="preserve"> </w:t>
      </w:r>
    </w:p>
    <w:p w:rsidR="001248D5" w:rsidRPr="00BB4455" w:rsidRDefault="001248D5" w:rsidP="00F95322">
      <w:pPr>
        <w:autoSpaceDE w:val="0"/>
        <w:autoSpaceDN w:val="0"/>
        <w:adjustRightInd w:val="0"/>
        <w:spacing w:after="0" w:line="240" w:lineRule="auto"/>
        <w:ind w:hanging="567"/>
        <w:rPr>
          <w:rFonts w:ascii="Arial" w:hAnsi="Arial" w:cs="Arial"/>
          <w:b/>
          <w:sz w:val="21"/>
          <w:szCs w:val="21"/>
        </w:rPr>
      </w:pPr>
      <w:r w:rsidRPr="00BB4455">
        <w:rPr>
          <w:rFonts w:ascii="Arial" w:hAnsi="Arial" w:cs="Arial"/>
          <w:b/>
          <w:sz w:val="21"/>
          <w:szCs w:val="21"/>
        </w:rPr>
        <w:t>Declaration</w:t>
      </w:r>
    </w:p>
    <w:p w:rsidR="00163B5B" w:rsidRPr="00BB4455" w:rsidRDefault="00A717A7" w:rsidP="00A717A7">
      <w:pPr>
        <w:ind w:left="-567"/>
        <w:rPr>
          <w:rFonts w:ascii="Arial" w:hAnsi="Arial" w:cs="Arial"/>
          <w:sz w:val="21"/>
          <w:szCs w:val="21"/>
        </w:rPr>
      </w:pPr>
      <w:r w:rsidRPr="00BB4455">
        <w:rPr>
          <w:rFonts w:ascii="Arial" w:hAnsi="Arial" w:cs="Arial"/>
          <w:sz w:val="21"/>
          <w:szCs w:val="21"/>
        </w:rPr>
        <w:t xml:space="preserve">I have read and understood the </w:t>
      </w:r>
      <w:r w:rsidR="00575D54" w:rsidRPr="00BB4455">
        <w:rPr>
          <w:rFonts w:ascii="Arial" w:hAnsi="Arial" w:cs="Arial"/>
          <w:sz w:val="21"/>
          <w:szCs w:val="21"/>
        </w:rPr>
        <w:t>Complex Instrument Appropriateness Assessment Form</w:t>
      </w:r>
      <w:r w:rsidRPr="00BB4455">
        <w:rPr>
          <w:rFonts w:ascii="Arial" w:hAnsi="Arial" w:cs="Arial"/>
          <w:sz w:val="21"/>
          <w:szCs w:val="21"/>
        </w:rPr>
        <w:t xml:space="preserve"> and have answered the questions to the best of my knowledge. I acknowledge that this appropriateness test is in place for my protection and confirm that the answers I have provided are truthful. I understand the risks involved in dealing in complex instruments, and declare that I have sufficient knowledge about the product and am able to assess the merits and declare that the product is appropriate in relation to my investment needs and abilities. I also </w:t>
      </w:r>
      <w:r w:rsidR="009223F8" w:rsidRPr="00BB4455">
        <w:rPr>
          <w:rFonts w:ascii="Arial" w:hAnsi="Arial" w:cs="Arial"/>
          <w:sz w:val="21"/>
          <w:szCs w:val="21"/>
        </w:rPr>
        <w:t xml:space="preserve">confirm that </w:t>
      </w:r>
      <w:r w:rsidRPr="00BB4455">
        <w:rPr>
          <w:rFonts w:ascii="Arial" w:hAnsi="Arial" w:cs="Arial"/>
          <w:sz w:val="21"/>
          <w:szCs w:val="21"/>
        </w:rPr>
        <w:t>complex instruments are suitable given my investment objectives and attitude to risk</w:t>
      </w:r>
    </w:p>
    <w:p w:rsidR="00E125D5" w:rsidRDefault="00E125D5" w:rsidP="002747E4">
      <w:pPr>
        <w:ind w:hanging="567"/>
        <w:rPr>
          <w:rFonts w:ascii="Arial" w:hAnsi="Arial" w:cs="Arial"/>
          <w:b/>
          <w:sz w:val="21"/>
          <w:szCs w:val="21"/>
        </w:rPr>
      </w:pPr>
    </w:p>
    <w:p w:rsidR="002747E4" w:rsidRPr="00BB4455" w:rsidRDefault="002747E4" w:rsidP="00E125D5">
      <w:pPr>
        <w:ind w:hanging="567"/>
        <w:rPr>
          <w:rFonts w:ascii="Arial" w:hAnsi="Arial" w:cs="Arial"/>
          <w:b/>
          <w:sz w:val="21"/>
          <w:szCs w:val="21"/>
        </w:rPr>
      </w:pPr>
      <w:r w:rsidRPr="00BB4455">
        <w:rPr>
          <w:rFonts w:ascii="Arial" w:hAnsi="Arial" w:cs="Arial"/>
          <w:b/>
          <w:sz w:val="21"/>
          <w:szCs w:val="21"/>
        </w:rPr>
        <w:t>Signed</w:t>
      </w:r>
      <w:r w:rsidR="00F810E3" w:rsidRPr="00BB4455">
        <w:rPr>
          <w:rFonts w:ascii="Arial" w:hAnsi="Arial" w:cs="Arial"/>
          <w:b/>
          <w:sz w:val="21"/>
          <w:szCs w:val="21"/>
        </w:rPr>
        <w:t xml:space="preserve">    _____________________</w:t>
      </w:r>
      <w:r w:rsidR="00F810E3" w:rsidRPr="00BB4455">
        <w:rPr>
          <w:rFonts w:ascii="Arial" w:hAnsi="Arial" w:cs="Arial"/>
          <w:b/>
          <w:sz w:val="21"/>
          <w:szCs w:val="21"/>
        </w:rPr>
        <w:tab/>
      </w:r>
      <w:r w:rsidR="00E125D5">
        <w:rPr>
          <w:rFonts w:ascii="Arial" w:hAnsi="Arial" w:cs="Arial"/>
          <w:b/>
          <w:sz w:val="21"/>
          <w:szCs w:val="21"/>
        </w:rPr>
        <w:tab/>
      </w:r>
      <w:r w:rsidR="00E125D5">
        <w:rPr>
          <w:rFonts w:ascii="Arial" w:hAnsi="Arial" w:cs="Arial"/>
          <w:b/>
          <w:sz w:val="21"/>
          <w:szCs w:val="21"/>
        </w:rPr>
        <w:tab/>
        <w:t xml:space="preserve"> </w:t>
      </w:r>
      <w:r w:rsidRPr="00BB4455">
        <w:rPr>
          <w:rFonts w:ascii="Arial" w:hAnsi="Arial" w:cs="Arial"/>
          <w:b/>
          <w:sz w:val="21"/>
          <w:szCs w:val="21"/>
        </w:rPr>
        <w:t>Date</w:t>
      </w:r>
      <w:r w:rsidR="00F810E3" w:rsidRPr="00BB4455">
        <w:rPr>
          <w:rFonts w:ascii="Arial" w:hAnsi="Arial" w:cs="Arial"/>
          <w:b/>
          <w:sz w:val="21"/>
          <w:szCs w:val="21"/>
        </w:rPr>
        <w:t xml:space="preserve">        _____________________</w:t>
      </w:r>
      <w:r w:rsidR="00F810E3" w:rsidRPr="00BB4455">
        <w:rPr>
          <w:rFonts w:ascii="Arial" w:hAnsi="Arial" w:cs="Arial"/>
          <w:b/>
          <w:sz w:val="21"/>
          <w:szCs w:val="21"/>
        </w:rPr>
        <w:tab/>
      </w:r>
      <w:bookmarkStart w:id="0" w:name="_GoBack"/>
      <w:bookmarkEnd w:id="0"/>
    </w:p>
    <w:p w:rsidR="005C0F19" w:rsidRPr="00E125D5" w:rsidRDefault="00E125D5" w:rsidP="00E125D5">
      <w:pPr>
        <w:pStyle w:val="NoSpacing"/>
        <w:rPr>
          <w:rFonts w:ascii="Arial" w:hAnsi="Arial" w:cs="Arial"/>
          <w:b/>
          <w:sz w:val="21"/>
          <w:szCs w:val="21"/>
        </w:rPr>
      </w:pPr>
      <w:r w:rsidRPr="00E125D5">
        <w:rPr>
          <w:rFonts w:ascii="Arial" w:hAnsi="Arial" w:cs="Arial"/>
          <w:b/>
          <w:sz w:val="21"/>
          <w:szCs w:val="21"/>
        </w:rPr>
        <w:t xml:space="preserve">Please return the completed form to: Dealing Desk, Jarvis Investment Management Ltd, </w:t>
      </w:r>
    </w:p>
    <w:p w:rsidR="00E125D5" w:rsidRPr="00E125D5" w:rsidRDefault="00E125D5" w:rsidP="00E125D5">
      <w:pPr>
        <w:pStyle w:val="NoSpacing"/>
        <w:rPr>
          <w:rFonts w:ascii="Arial" w:hAnsi="Arial" w:cs="Arial"/>
          <w:b/>
          <w:sz w:val="21"/>
          <w:szCs w:val="21"/>
        </w:rPr>
      </w:pPr>
      <w:r w:rsidRPr="00E125D5">
        <w:rPr>
          <w:rFonts w:ascii="Arial" w:hAnsi="Arial" w:cs="Arial"/>
          <w:b/>
          <w:sz w:val="21"/>
          <w:szCs w:val="21"/>
        </w:rPr>
        <w:t>78 Mount Ephraim, Tunbridge Wells, Kent, TN4 8BS</w:t>
      </w:r>
    </w:p>
    <w:sectPr w:rsidR="00E125D5" w:rsidRPr="00E125D5" w:rsidSect="005E4048">
      <w:headerReference w:type="default" r:id="rId7"/>
      <w:footerReference w:type="default" r:id="rId8"/>
      <w:pgSz w:w="11906" w:h="16838"/>
      <w:pgMar w:top="1440" w:right="1133" w:bottom="709" w:left="1440" w:header="708"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964" w:rsidRDefault="00D22964" w:rsidP="005B1DA7">
      <w:pPr>
        <w:spacing w:after="0" w:line="240" w:lineRule="auto"/>
      </w:pPr>
      <w:r>
        <w:separator/>
      </w:r>
    </w:p>
  </w:endnote>
  <w:endnote w:type="continuationSeparator" w:id="0">
    <w:p w:rsidR="00D22964" w:rsidRDefault="00D22964" w:rsidP="005B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48" w:rsidRDefault="005E4048" w:rsidP="005E4048">
    <w:pPr>
      <w:pStyle w:val="Footer"/>
      <w:jc w:val="center"/>
      <w:rPr>
        <w:rFonts w:cs="Arial"/>
        <w:color w:val="1C1C1C"/>
        <w:sz w:val="16"/>
      </w:rPr>
    </w:pPr>
  </w:p>
  <w:p w:rsidR="005E4048" w:rsidRPr="000B78BB" w:rsidRDefault="005E4048" w:rsidP="005E4048">
    <w:pPr>
      <w:pStyle w:val="Footer"/>
      <w:jc w:val="center"/>
      <w:rPr>
        <w:rFonts w:cs="Arial"/>
        <w:color w:val="1C1C1C"/>
        <w:sz w:val="16"/>
      </w:rPr>
    </w:pPr>
    <w:r w:rsidRPr="000B78BB">
      <w:rPr>
        <w:rFonts w:cs="Arial"/>
        <w:color w:val="1C1C1C"/>
        <w:sz w:val="16"/>
      </w:rPr>
      <w:t xml:space="preserve">Registered Office: 78 Mount Ephraim Tunbridge Wells </w:t>
    </w:r>
    <w:proofErr w:type="gramStart"/>
    <w:r w:rsidRPr="000B78BB">
      <w:rPr>
        <w:rFonts w:cs="Arial"/>
        <w:color w:val="1C1C1C"/>
        <w:sz w:val="16"/>
      </w:rPr>
      <w:t>Kent  TN</w:t>
    </w:r>
    <w:proofErr w:type="gramEnd"/>
    <w:r w:rsidRPr="000B78BB">
      <w:rPr>
        <w:rFonts w:cs="Arial"/>
        <w:color w:val="1C1C1C"/>
        <w:sz w:val="16"/>
      </w:rPr>
      <w:t>4 8BS  Registered No. 1844601 England  Registered VAT No. 680 0400 74</w:t>
    </w:r>
  </w:p>
  <w:p w:rsidR="005E4048" w:rsidRPr="000B78BB" w:rsidRDefault="005E4048" w:rsidP="005E4048">
    <w:pPr>
      <w:pStyle w:val="Footer"/>
      <w:jc w:val="center"/>
      <w:rPr>
        <w:rFonts w:cs="Arial"/>
        <w:color w:val="1C1C1C"/>
        <w:sz w:val="16"/>
      </w:rPr>
    </w:pPr>
    <w:r w:rsidRPr="000B78BB">
      <w:rPr>
        <w:rFonts w:cs="Arial"/>
        <w:color w:val="1C1C1C"/>
        <w:sz w:val="16"/>
      </w:rPr>
      <w:t xml:space="preserve">Member of the London Stock Exchange </w:t>
    </w:r>
    <w:r>
      <w:rPr>
        <w:rFonts w:cs="Arial"/>
        <w:color w:val="1C1C1C"/>
        <w:sz w:val="16"/>
      </w:rPr>
      <w:t xml:space="preserve">and </w:t>
    </w:r>
    <w:r w:rsidRPr="009829B1">
      <w:rPr>
        <w:rFonts w:cs="Arial"/>
        <w:color w:val="1C1C1C"/>
        <w:sz w:val="16"/>
      </w:rPr>
      <w:t>NEX Exchange</w:t>
    </w:r>
    <w:r>
      <w:rPr>
        <w:rFonts w:cs="Arial"/>
        <w:color w:val="1C1C1C"/>
        <w:sz w:val="16"/>
      </w:rPr>
      <w:t xml:space="preserve"> </w:t>
    </w:r>
    <w:r w:rsidRPr="000B78BB">
      <w:rPr>
        <w:rFonts w:cs="Arial"/>
        <w:color w:val="1C1C1C"/>
        <w:sz w:val="16"/>
      </w:rPr>
      <w:t>Authorised and regulated by the Financial Conduct Authority</w:t>
    </w:r>
  </w:p>
  <w:p w:rsidR="005E4048" w:rsidRDefault="005E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964" w:rsidRDefault="00D22964" w:rsidP="005B1DA7">
      <w:pPr>
        <w:spacing w:after="0" w:line="240" w:lineRule="auto"/>
      </w:pPr>
      <w:r>
        <w:separator/>
      </w:r>
    </w:p>
  </w:footnote>
  <w:footnote w:type="continuationSeparator" w:id="0">
    <w:p w:rsidR="00D22964" w:rsidRDefault="00D22964" w:rsidP="005B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DA7" w:rsidRPr="005840C2" w:rsidRDefault="005B1DA7" w:rsidP="005B1DA7">
    <w:pPr>
      <w:pStyle w:val="Title"/>
      <w:tabs>
        <w:tab w:val="num" w:pos="862"/>
        <w:tab w:val="num" w:pos="6946"/>
      </w:tabs>
      <w:ind w:left="-851" w:right="-991"/>
      <w:jc w:val="left"/>
      <w:rPr>
        <w:sz w:val="48"/>
        <w:szCs w:val="48"/>
      </w:rPr>
    </w:pPr>
    <w:r>
      <w:tab/>
    </w:r>
    <w:r>
      <w:tab/>
    </w:r>
    <w:r>
      <w:tab/>
    </w:r>
    <w:r>
      <w:tab/>
      <w:t xml:space="preserve"> </w:t>
    </w:r>
    <w:r w:rsidRPr="005840C2">
      <w:rPr>
        <w:sz w:val="48"/>
        <w:szCs w:val="48"/>
      </w:rPr>
      <w:t>JARVIS</w:t>
    </w:r>
  </w:p>
  <w:p w:rsidR="005B1DA7" w:rsidRPr="005B1DA7" w:rsidRDefault="005B1DA7" w:rsidP="005B1DA7">
    <w:pPr>
      <w:pStyle w:val="Header"/>
      <w:tabs>
        <w:tab w:val="num" w:pos="6946"/>
      </w:tabs>
      <w:ind w:left="-851" w:right="-991"/>
      <w:jc w:val="center"/>
      <w:rPr>
        <w:sz w:val="12"/>
        <w:szCs w:val="12"/>
      </w:rPr>
    </w:pPr>
    <w:r>
      <w:rPr>
        <w:rFonts w:ascii="Gill Sans MT" w:hAnsi="Gill Sans MT"/>
        <w:sz w:val="20"/>
      </w:rPr>
      <w:t xml:space="preserve">                                                                                                                 </w:t>
    </w:r>
    <w:r>
      <w:rPr>
        <w:rFonts w:ascii="Gill Sans MT" w:hAnsi="Gill Sans MT"/>
        <w:sz w:val="20"/>
      </w:rPr>
      <w:tab/>
      <w:t xml:space="preserve"> </w:t>
    </w:r>
    <w:r w:rsidR="005840C2">
      <w:rPr>
        <w:rFonts w:ascii="Gill Sans MT" w:hAnsi="Gill Sans MT"/>
        <w:sz w:val="20"/>
      </w:rPr>
      <w:t xml:space="preserve">      </w:t>
    </w:r>
    <w:r>
      <w:rPr>
        <w:rFonts w:ascii="Gill Sans MT" w:hAnsi="Gill Sans MT"/>
        <w:sz w:val="20"/>
      </w:rPr>
      <w:t xml:space="preserve">  </w:t>
    </w:r>
    <w:r w:rsidRPr="005B1DA7">
      <w:rPr>
        <w:rFonts w:ascii="Gill Sans MT" w:hAnsi="Gill Sans MT"/>
        <w:sz w:val="12"/>
        <w:szCs w:val="12"/>
      </w:rPr>
      <w:t>Investment Management Ltd</w:t>
    </w:r>
  </w:p>
  <w:p w:rsidR="005B1DA7" w:rsidRDefault="005B1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4333"/>
    <w:multiLevelType w:val="multilevel"/>
    <w:tmpl w:val="5E72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10C86"/>
    <w:multiLevelType w:val="multilevel"/>
    <w:tmpl w:val="626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1"/>
    <w:lvlOverride w:ilvl="0">
      <w:startOverride w:val="2"/>
    </w:lvlOverride>
  </w:num>
  <w:num w:numId="3">
    <w:abstractNumId w:val="0"/>
    <w:lvlOverride w:ilvl="0">
      <w:startOverride w:val="1"/>
    </w:lvlOverride>
  </w:num>
  <w:num w:numId="4">
    <w:abstractNumId w:val="0"/>
    <w:lvlOverride w:ilvl="0">
      <w:startOverride w:val="2"/>
    </w:lvlOverride>
  </w:num>
  <w:num w:numId="5">
    <w:abstractNumId w:val="0"/>
    <w:lvlOverride w:ilvl="0">
      <w:startOverride w:val="3"/>
    </w:lvlOverride>
  </w:num>
  <w:num w:numId="6">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48"/>
    <w:rsid w:val="00017F82"/>
    <w:rsid w:val="001248D5"/>
    <w:rsid w:val="00124C48"/>
    <w:rsid w:val="00163B5B"/>
    <w:rsid w:val="001704C2"/>
    <w:rsid w:val="001B5383"/>
    <w:rsid w:val="001E186F"/>
    <w:rsid w:val="001F7356"/>
    <w:rsid w:val="00257665"/>
    <w:rsid w:val="002747E4"/>
    <w:rsid w:val="00296096"/>
    <w:rsid w:val="00311298"/>
    <w:rsid w:val="00382D37"/>
    <w:rsid w:val="00393642"/>
    <w:rsid w:val="00471F61"/>
    <w:rsid w:val="00575D54"/>
    <w:rsid w:val="005840C2"/>
    <w:rsid w:val="005B1DA7"/>
    <w:rsid w:val="005C0F19"/>
    <w:rsid w:val="005E4048"/>
    <w:rsid w:val="00657FDD"/>
    <w:rsid w:val="006A686B"/>
    <w:rsid w:val="006A75C7"/>
    <w:rsid w:val="0070254D"/>
    <w:rsid w:val="007471B4"/>
    <w:rsid w:val="00794337"/>
    <w:rsid w:val="00830A9B"/>
    <w:rsid w:val="009223F8"/>
    <w:rsid w:val="00932E49"/>
    <w:rsid w:val="0094158E"/>
    <w:rsid w:val="00941C86"/>
    <w:rsid w:val="009858B4"/>
    <w:rsid w:val="009E55DB"/>
    <w:rsid w:val="00A4221D"/>
    <w:rsid w:val="00A65D84"/>
    <w:rsid w:val="00A717A7"/>
    <w:rsid w:val="00A97384"/>
    <w:rsid w:val="00AD2FEF"/>
    <w:rsid w:val="00AE1BB2"/>
    <w:rsid w:val="00B34094"/>
    <w:rsid w:val="00BB4455"/>
    <w:rsid w:val="00BC4248"/>
    <w:rsid w:val="00C03F28"/>
    <w:rsid w:val="00C225F1"/>
    <w:rsid w:val="00C30D39"/>
    <w:rsid w:val="00C67008"/>
    <w:rsid w:val="00C77DAA"/>
    <w:rsid w:val="00CA05B4"/>
    <w:rsid w:val="00CB35B7"/>
    <w:rsid w:val="00CE241C"/>
    <w:rsid w:val="00D21B49"/>
    <w:rsid w:val="00D22964"/>
    <w:rsid w:val="00D56031"/>
    <w:rsid w:val="00D828AB"/>
    <w:rsid w:val="00DD6D94"/>
    <w:rsid w:val="00DE635B"/>
    <w:rsid w:val="00DF5841"/>
    <w:rsid w:val="00E125D5"/>
    <w:rsid w:val="00E33B56"/>
    <w:rsid w:val="00EA1EBC"/>
    <w:rsid w:val="00EC7FCF"/>
    <w:rsid w:val="00F467D8"/>
    <w:rsid w:val="00F50A70"/>
    <w:rsid w:val="00F810E3"/>
    <w:rsid w:val="00F95322"/>
    <w:rsid w:val="00FF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3898"/>
  <w15:chartTrackingRefBased/>
  <w15:docId w15:val="{8B09D8D6-0506-4F05-9C66-9942D7F6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C48"/>
    <w:rPr>
      <w:rFonts w:ascii="Segoe UI" w:hAnsi="Segoe UI" w:cs="Segoe UI"/>
      <w:sz w:val="18"/>
      <w:szCs w:val="18"/>
    </w:rPr>
  </w:style>
  <w:style w:type="paragraph" w:styleId="NoSpacing">
    <w:name w:val="No Spacing"/>
    <w:link w:val="NoSpacingChar"/>
    <w:uiPriority w:val="1"/>
    <w:qFormat/>
    <w:rsid w:val="00471F61"/>
    <w:pPr>
      <w:spacing w:after="0" w:line="240" w:lineRule="auto"/>
    </w:pPr>
  </w:style>
  <w:style w:type="character" w:customStyle="1" w:styleId="NoSpacingChar">
    <w:name w:val="No Spacing Char"/>
    <w:basedOn w:val="DefaultParagraphFont"/>
    <w:link w:val="NoSpacing"/>
    <w:uiPriority w:val="1"/>
    <w:rsid w:val="00941C86"/>
  </w:style>
  <w:style w:type="paragraph" w:styleId="Header">
    <w:name w:val="header"/>
    <w:basedOn w:val="Normal"/>
    <w:link w:val="HeaderChar"/>
    <w:unhideWhenUsed/>
    <w:rsid w:val="005B1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DA7"/>
  </w:style>
  <w:style w:type="paragraph" w:styleId="Footer">
    <w:name w:val="footer"/>
    <w:basedOn w:val="Normal"/>
    <w:link w:val="FooterChar"/>
    <w:unhideWhenUsed/>
    <w:rsid w:val="005B1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DA7"/>
  </w:style>
  <w:style w:type="paragraph" w:styleId="Title">
    <w:name w:val="Title"/>
    <w:basedOn w:val="Normal"/>
    <w:link w:val="TitleChar"/>
    <w:qFormat/>
    <w:rsid w:val="005B1DA7"/>
    <w:pPr>
      <w:spacing w:after="0" w:line="240" w:lineRule="auto"/>
      <w:ind w:left="6946"/>
      <w:jc w:val="center"/>
    </w:pPr>
    <w:rPr>
      <w:rFonts w:ascii="Gill Sans MT" w:eastAsia="Times New Roman" w:hAnsi="Gill Sans MT" w:cs="Times New Roman"/>
      <w:sz w:val="96"/>
      <w:szCs w:val="20"/>
    </w:rPr>
  </w:style>
  <w:style w:type="character" w:customStyle="1" w:styleId="TitleChar">
    <w:name w:val="Title Char"/>
    <w:basedOn w:val="DefaultParagraphFont"/>
    <w:link w:val="Title"/>
    <w:rsid w:val="005B1DA7"/>
    <w:rPr>
      <w:rFonts w:ascii="Gill Sans MT" w:eastAsia="Times New Roman" w:hAnsi="Gill Sans MT" w:cs="Times New Roman"/>
      <w:sz w:val="9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3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Dyce</dc:creator>
  <cp:keywords/>
  <dc:description/>
  <cp:lastModifiedBy>Nick Crabb</cp:lastModifiedBy>
  <cp:revision>2</cp:revision>
  <cp:lastPrinted>2017-12-21T09:58:00Z</cp:lastPrinted>
  <dcterms:created xsi:type="dcterms:W3CDTF">2017-12-27T15:34:00Z</dcterms:created>
  <dcterms:modified xsi:type="dcterms:W3CDTF">2017-12-27T15:34:00Z</dcterms:modified>
</cp:coreProperties>
</file>